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микрогенерации.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почасовом объеме электрической энергии (мощности), произведенной на объектах микрогенерации</w:t>
      </w:r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микрогенерации,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56193A33" w14:textId="36FB00F3" w:rsidR="00AA60F1" w:rsidRDefault="0089114E" w:rsidP="008D5AC0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>При передаче результатов измерений о фактическом почасовом объеме электрической энергии (мощности), произведенной на объектах микрогенерации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56604251" w14:textId="77777777" w:rsidR="008D5AC0" w:rsidRPr="008D5AC0" w:rsidRDefault="008D5AC0" w:rsidP="008D5AC0">
      <w:pPr>
        <w:pStyle w:val="ac"/>
        <w:spacing w:before="120" w:line="240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микрогенерации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операционный период, за который предоставляется информация,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определяет </w:t>
      </w:r>
      <w:proofErr w:type="gramStart"/>
      <w:r w:rsidRPr="00241714">
        <w:rPr>
          <w:sz w:val="23"/>
          <w:szCs w:val="23"/>
        </w:rPr>
        <w:t>в</w:t>
      </w:r>
      <w:proofErr w:type="gramEnd"/>
      <w:r w:rsidRPr="00241714">
        <w:rPr>
          <w:sz w:val="23"/>
          <w:szCs w:val="23"/>
        </w:rPr>
        <w:t xml:space="preserve">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время начала и конца измерения соответственно,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мм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округленным значением и </w:t>
      </w:r>
      <w:r w:rsidRPr="00241714">
        <w:rPr>
          <w:sz w:val="23"/>
          <w:szCs w:val="23"/>
        </w:rPr>
        <w:lastRenderedPageBreak/>
        <w:t>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микрогенерации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о планируемом почасовом объеме электрической энергии (мощности), произведенной на объектах микрогенерации,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микрогенерации,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>&gt;. В документе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lastRenderedPageBreak/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микрогенерации.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 xml:space="preserve">&gt; содержит дату и время формирования данного документа в </w:t>
      </w:r>
      <w:proofErr w:type="gramStart"/>
      <w:r w:rsidRPr="00065C33">
        <w:rPr>
          <w:sz w:val="23"/>
          <w:szCs w:val="23"/>
        </w:rPr>
        <w:t>формате</w:t>
      </w:r>
      <w:proofErr w:type="gramEnd"/>
      <w:r w:rsidRPr="00065C33">
        <w:rPr>
          <w:sz w:val="23"/>
          <w:szCs w:val="23"/>
        </w:rPr>
        <w:t xml:space="preserve">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>информация о планируемом почасовом объеме электрической энергии (мощности), произведенной на объектах микрогенерации</w:t>
      </w:r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>объекте микрогенерации</w:t>
      </w:r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>информацию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>информации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>нформации о планируемом почасовом объеме электрической энергии (мощности), произведенной на объектах микрогенерации,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микрогенерации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>прогнозном помесячном объеме электрической энергии (мощности), произведенной на объектах микрогенерации</w:t>
      </w:r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микрогенерации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Наименование объекта микрогенерации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Прогнозный объем электрической энергии (мощности), произведенной на объектах микрогенерации,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8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C263A" w14:textId="77777777" w:rsidR="004E1438" w:rsidRDefault="004E1438" w:rsidP="008605B1">
      <w:r>
        <w:separator/>
      </w:r>
    </w:p>
  </w:endnote>
  <w:endnote w:type="continuationSeparator" w:id="0">
    <w:p w14:paraId="5A009327" w14:textId="77777777" w:rsidR="004E1438" w:rsidRDefault="004E1438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A9399A" w14:textId="77777777" w:rsidR="004E1438" w:rsidRDefault="004E1438" w:rsidP="008605B1">
      <w:r>
        <w:separator/>
      </w:r>
    </w:p>
  </w:footnote>
  <w:footnote w:type="continuationSeparator" w:id="0">
    <w:p w14:paraId="5F611348" w14:textId="77777777" w:rsidR="004E1438" w:rsidRDefault="004E1438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438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5AC0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Тихомирова Анастасия Николаевна</cp:lastModifiedBy>
  <cp:revision>12</cp:revision>
  <cp:lastPrinted>2024-01-18T07:20:00Z</cp:lastPrinted>
  <dcterms:created xsi:type="dcterms:W3CDTF">2024-01-18T07:12:00Z</dcterms:created>
  <dcterms:modified xsi:type="dcterms:W3CDTF">2024-08-23T10:23:00Z</dcterms:modified>
</cp:coreProperties>
</file>